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BF506D" w:rsidRDefault="000A1C5E" w:rsidP="00BF506D">
      <w:pPr>
        <w:jc w:val="both"/>
        <w:rPr>
          <w:rStyle w:val="BLOCKBOLD"/>
          <w:rFonts w:ascii="Calibri" w:hAnsi="Calibri"/>
        </w:rPr>
      </w:pPr>
      <w:r w:rsidRPr="00BF506D">
        <w:rPr>
          <w:rStyle w:val="BLOCKBOLD"/>
          <w:rFonts w:ascii="Calibri" w:hAnsi="Calibri"/>
        </w:rPr>
        <w:t xml:space="preserve">DICHIARAZIONE </w:t>
      </w:r>
      <w:r w:rsidR="000627B5" w:rsidRPr="00BF506D">
        <w:rPr>
          <w:rStyle w:val="BLOCKBOLD"/>
          <w:rFonts w:ascii="Calibri" w:hAnsi="Calibri"/>
        </w:rPr>
        <w:t>AGGIUNTIVA</w:t>
      </w:r>
      <w:r w:rsidR="002C014D" w:rsidRPr="00BF506D">
        <w:rPr>
          <w:rStyle w:val="BLOCKBOLD"/>
          <w:rFonts w:ascii="Calibri" w:hAnsi="Calibri"/>
        </w:rPr>
        <w:t xml:space="preserve"> </w:t>
      </w:r>
      <w:r w:rsidR="00C609B4" w:rsidRPr="00BF506D">
        <w:rPr>
          <w:rStyle w:val="BLOCKBOLD"/>
          <w:rFonts w:ascii="Calibri" w:hAnsi="Calibri"/>
        </w:rPr>
        <w:t xml:space="preserve">art. 80 </w:t>
      </w:r>
      <w:r w:rsidRPr="00BF506D">
        <w:rPr>
          <w:rStyle w:val="BLOCKBOLD"/>
          <w:rFonts w:ascii="Calibri" w:hAnsi="Calibri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6F95036E" w:rsidR="009B6E69" w:rsidRPr="00275C72" w:rsidRDefault="00172069" w:rsidP="00123085">
      <w:pPr>
        <w:jc w:val="both"/>
        <w:rPr>
          <w:rStyle w:val="BLOCKBOLD"/>
          <w:rFonts w:ascii="Calibri" w:hAnsi="Calibri"/>
        </w:rPr>
      </w:pPr>
      <w:r w:rsidRPr="00172069">
        <w:rPr>
          <w:rStyle w:val="BLOCKBOLD"/>
          <w:rFonts w:ascii="Calibri" w:hAnsi="Calibri"/>
        </w:rPr>
        <w:t>Affidamento diretto su MEPA ex art. 1 comma 2 lett. a) dell</w:t>
      </w:r>
      <w:r>
        <w:rPr>
          <w:rStyle w:val="BLOCKBOLD"/>
          <w:rFonts w:ascii="Calibri" w:hAnsi="Calibri"/>
        </w:rPr>
        <w:t>a legge 120/2020 ed ex art. 36,</w:t>
      </w:r>
      <w:r w:rsidRPr="00172069">
        <w:rPr>
          <w:rStyle w:val="BLOCKBOLD"/>
          <w:rFonts w:ascii="Calibri" w:hAnsi="Calibri"/>
        </w:rPr>
        <w:t xml:space="preserve"> comma 6 d.lgs. 50/2016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SOGEI S.p.A.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172069">
        <w:rPr>
          <w:rStyle w:val="BLOCKBOLD"/>
          <w:rFonts w:ascii="Calibri" w:hAnsi="Calibri"/>
        </w:rPr>
        <w:t xml:space="preserve">Servizi di formazione ufficiale e autorizzata IBM per gli utenti della </w:t>
      </w:r>
      <w:r w:rsidR="00275C72">
        <w:rPr>
          <w:rStyle w:val="BLOCKBOLD"/>
          <w:rFonts w:ascii="Calibri" w:hAnsi="Calibri"/>
        </w:rPr>
        <w:t xml:space="preserve">Ragioneria Generale dello Stato -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DICHIARAZIONI AI SENSI E PER GLI EFFETTI DI CUI AGLI ART</w:t>
      </w:r>
      <w:r w:rsidR="00275C72">
        <w:rPr>
          <w:rStyle w:val="BLOCKBOLD"/>
          <w:rFonts w:ascii="Calibri" w:hAnsi="Calibri"/>
        </w:rPr>
        <w:t>T. 46, 47 E 76 DEL DPR 445/2000.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1F54C9D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275C7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72069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75C72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BF506D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2022-09-07T10:10:00Z</dcterms:modified>
</cp:coreProperties>
</file>